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5EA94751"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#108</w:t>
      </w:r>
      <w:r>
        <w:rPr>
          <w:rFonts w:ascii="Arial" w:hAnsi="Arial" w:cs="Arial"/>
          <w:sz w:val="22"/>
          <w:szCs w:val="22"/>
        </w:rPr>
        <w:tab/>
      </w:r>
      <w:bookmarkStart w:id="1" w:name="_GoBack"/>
      <w:r w:rsidR="00135AB5" w:rsidRPr="00135AB5">
        <w:rPr>
          <w:rFonts w:ascii="Arial" w:hAnsi="Arial" w:cs="Arial"/>
          <w:sz w:val="22"/>
          <w:szCs w:val="22"/>
        </w:rPr>
        <w:t>R2-1915289</w:t>
      </w:r>
      <w:bookmarkEnd w:id="1"/>
    </w:p>
    <w:bookmarkEnd w:id="0"/>
    <w:p w14:paraId="27C15FB6" w14:textId="77777777" w:rsidR="00D132A4" w:rsidRPr="00F13B6D" w:rsidRDefault="00D132A4" w:rsidP="00D132A4">
      <w:pPr>
        <w:spacing w:after="60"/>
        <w:ind w:left="1985" w:hanging="1985"/>
        <w:rPr>
          <w:rFonts w:cs="Arial"/>
          <w:b/>
          <w:sz w:val="22"/>
          <w:lang w:val="en-GB"/>
        </w:rPr>
      </w:pPr>
      <w:r w:rsidRPr="00F13B6D">
        <w:rPr>
          <w:rFonts w:cs="Arial"/>
          <w:b/>
          <w:sz w:val="22"/>
          <w:lang w:val="en-GB"/>
        </w:rPr>
        <w:t>Reno, USA, 18-22 November 2019</w:t>
      </w:r>
    </w:p>
    <w:p w14:paraId="640B18F4" w14:textId="77777777" w:rsidR="00286831" w:rsidRPr="00F13B6D" w:rsidRDefault="00286831" w:rsidP="00120D47">
      <w:pPr>
        <w:pStyle w:val="3GPPHeader"/>
        <w:spacing w:after="0"/>
        <w:rPr>
          <w:rFonts w:ascii="Arial" w:hAnsi="Arial" w:cs="Arial"/>
          <w:sz w:val="22"/>
        </w:rPr>
      </w:pPr>
    </w:p>
    <w:p w14:paraId="18C94194" w14:textId="77777777" w:rsidR="00120D47" w:rsidRPr="00F13B6D" w:rsidRDefault="00120D47" w:rsidP="00120D47">
      <w:pPr>
        <w:pStyle w:val="3GPPHeader"/>
        <w:spacing w:after="0"/>
        <w:rPr>
          <w:rFonts w:ascii="Arial" w:hAnsi="Arial" w:cs="Arial"/>
          <w:sz w:val="22"/>
        </w:rPr>
      </w:pPr>
      <w:r w:rsidRPr="00F13B6D">
        <w:rPr>
          <w:rFonts w:ascii="Arial" w:hAnsi="Arial" w:cs="Arial"/>
          <w:sz w:val="22"/>
        </w:rPr>
        <w:tab/>
      </w:r>
    </w:p>
    <w:p w14:paraId="7BE584AF" w14:textId="0F9E48E9" w:rsidR="00120D47" w:rsidRPr="00462587" w:rsidRDefault="00120D47" w:rsidP="00F120D3">
      <w:pPr>
        <w:pStyle w:val="3GPPHeader"/>
        <w:spacing w:after="120"/>
        <w:rPr>
          <w:rFonts w:ascii="Arial" w:hAnsi="Arial" w:cs="Arial"/>
          <w:b w:val="0"/>
          <w:sz w:val="22"/>
        </w:rPr>
      </w:pPr>
      <w:r w:rsidRPr="00462587">
        <w:rPr>
          <w:rFonts w:ascii="Arial" w:hAnsi="Arial" w:cs="Arial"/>
          <w:sz w:val="22"/>
        </w:rPr>
        <w:t>Agenda Item:</w:t>
      </w:r>
      <w:r w:rsidRPr="00462587">
        <w:rPr>
          <w:rFonts w:ascii="Arial" w:hAnsi="Arial" w:cs="Arial"/>
          <w:sz w:val="22"/>
        </w:rPr>
        <w:tab/>
      </w:r>
      <w:r w:rsidR="00462587" w:rsidRPr="00462587">
        <w:rPr>
          <w:rFonts w:ascii="Arial" w:hAnsi="Arial" w:cs="Arial"/>
          <w:b w:val="0"/>
          <w:sz w:val="22"/>
        </w:rPr>
        <w:t>6.20.2 RAN2 led TEI16 enhancements - User plane related</w:t>
      </w:r>
    </w:p>
    <w:p w14:paraId="3097E7CA" w14:textId="77777777" w:rsidR="00BA0D95" w:rsidRDefault="00BA0D95" w:rsidP="00BA0D95">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Ericsson, Qualcomm Inc., Samsung, Verizon, Deutsche Telekom</w:t>
      </w:r>
    </w:p>
    <w:p w14:paraId="1848C160" w14:textId="77777777" w:rsidR="00C92906" w:rsidRDefault="00C92906" w:rsidP="00C92906">
      <w:pPr>
        <w:pStyle w:val="3GPPHeader"/>
        <w:spacing w:after="120"/>
        <w:rPr>
          <w:rFonts w:ascii="Arial" w:hAnsi="Arial" w:cs="Arial"/>
          <w:b w:val="0"/>
          <w:bCs/>
          <w:sz w:val="22"/>
        </w:rPr>
      </w:pPr>
      <w:r>
        <w:rPr>
          <w:rFonts w:ascii="Arial" w:hAnsi="Arial" w:cs="Arial"/>
          <w:sz w:val="22"/>
          <w:lang w:val="en-US"/>
        </w:rPr>
        <w:t xml:space="preserve">Title:  </w:t>
      </w:r>
      <w:r>
        <w:rPr>
          <w:rFonts w:ascii="Arial" w:hAnsi="Arial" w:cs="Arial"/>
          <w:sz w:val="22"/>
          <w:lang w:val="en-US"/>
        </w:rPr>
        <w:tab/>
      </w:r>
      <w:r>
        <w:rPr>
          <w:rFonts w:ascii="Arial" w:hAnsi="Arial" w:cs="Arial"/>
          <w:b w:val="0"/>
          <w:bCs/>
          <w:sz w:val="22"/>
          <w:lang w:val="en-US"/>
        </w:rPr>
        <w:t xml:space="preserve">cDRX enhancement for CA </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1FE7E27D" w14:textId="77777777" w:rsidR="00C92906" w:rsidRDefault="00C92906" w:rsidP="00C92906">
      <w:pPr>
        <w:pStyle w:val="Heading1"/>
        <w:textAlignment w:val="auto"/>
      </w:pPr>
      <w:r>
        <w:t>Introduction</w:t>
      </w:r>
    </w:p>
    <w:p w14:paraId="1DE89C85" w14:textId="77777777" w:rsidR="00C92906" w:rsidRDefault="00C92906" w:rsidP="00C92906">
      <w:pPr>
        <w:rPr>
          <w:lang w:val="en-GB" w:eastAsia="zh-CN"/>
        </w:rPr>
      </w:pPr>
      <w:r>
        <w:rPr>
          <w:lang w:val="en-GB" w:eastAsia="zh-CN"/>
        </w:rPr>
        <w:t>When both FR1 and FR2 cells are configured through Carrier Aggregation (CA) then all the cells share the same cDRX configuration and operation. This is inefficient for the FR2 cells that consume more power compared to the FR1 cells when running idle. The power consumption of FR1+FR2 CA compared to the power consumption of EN-DC (or DC) is significantly higher due to a common cDRX configuration for a typical Day-of-Use (</w:t>
      </w:r>
      <w:proofErr w:type="spellStart"/>
      <w:r>
        <w:rPr>
          <w:lang w:val="en-GB" w:eastAsia="zh-CN"/>
        </w:rPr>
        <w:t>DoU</w:t>
      </w:r>
      <w:proofErr w:type="spellEnd"/>
      <w:r>
        <w:rPr>
          <w:lang w:val="en-GB" w:eastAsia="zh-CN"/>
        </w:rPr>
        <w:t xml:space="preserve">) use case. The FR2 power consumption is a concern for the battery lifetime in NR. A cDRX enhancement is proposed, which improves the FR2 power consumption, but limits the additional scheduling complexity impact on the NW. </w:t>
      </w:r>
    </w:p>
    <w:p w14:paraId="7FC95C40" w14:textId="77777777" w:rsidR="00C92906" w:rsidRDefault="00C92906" w:rsidP="00C92906">
      <w:pPr>
        <w:pStyle w:val="Heading1"/>
        <w:textAlignment w:val="auto"/>
      </w:pPr>
      <w:bookmarkStart w:id="2" w:name="_Toc242573354"/>
      <w:r>
        <w:t>Background</w:t>
      </w:r>
    </w:p>
    <w:p w14:paraId="6AE4FD75" w14:textId="55C19C6C" w:rsidR="00C92906" w:rsidRDefault="00C92906" w:rsidP="00C92906">
      <w:pPr>
        <w:rPr>
          <w:lang w:val="en-GB" w:eastAsia="zh-CN"/>
        </w:rPr>
      </w:pPr>
      <w:r>
        <w:rPr>
          <w:lang w:val="en-GB" w:eastAsia="zh-CN"/>
        </w:rPr>
        <w:t xml:space="preserve">RAN plenary did not reach consensus on cDRX enhancements for REL-16 [1, 2]. No changes to the NR UE power saving WID were agreed [3]. </w:t>
      </w:r>
    </w:p>
    <w:p w14:paraId="7F9AC39B" w14:textId="773786E0" w:rsidR="00F13B6D" w:rsidRDefault="00F13B6D" w:rsidP="00C92906">
      <w:pPr>
        <w:rPr>
          <w:lang w:val="en-GB" w:eastAsia="zh-CN"/>
        </w:rPr>
      </w:pPr>
      <w:r>
        <w:rPr>
          <w:lang w:val="en-GB" w:eastAsia="zh-CN"/>
        </w:rPr>
        <w:t xml:space="preserve">RAN2 organized an email discussion where stage 3 details were discussed further: </w:t>
      </w:r>
    </w:p>
    <w:p w14:paraId="3C299093" w14:textId="77777777" w:rsidR="00CD0EF5" w:rsidRPr="00B0085B" w:rsidRDefault="00CD0EF5" w:rsidP="00CD0EF5">
      <w:pPr>
        <w:pStyle w:val="EmailDiscussion"/>
        <w:rPr>
          <w:rFonts w:ascii="Times New Roman" w:hAnsi="Times New Roman"/>
          <w:color w:val="C45911" w:themeColor="accent2" w:themeShade="BF"/>
        </w:rPr>
      </w:pPr>
      <w:r w:rsidRPr="00B0085B">
        <w:rPr>
          <w:rFonts w:ascii="Times New Roman" w:hAnsi="Times New Roman"/>
          <w:color w:val="C45911" w:themeColor="accent2" w:themeShade="BF"/>
        </w:rPr>
        <w:t>[107bis#49][NR TEI16] cDRX enhancement for CA (Ericsson)</w:t>
      </w:r>
    </w:p>
    <w:p w14:paraId="219C3CB5" w14:textId="77777777" w:rsidR="00CD0EF5" w:rsidRPr="00B0085B" w:rsidRDefault="00CD0EF5" w:rsidP="00CD0EF5">
      <w:pPr>
        <w:pStyle w:val="EmailDiscussion2"/>
        <w:rPr>
          <w:rFonts w:ascii="Times New Roman" w:hAnsi="Times New Roman"/>
          <w:color w:val="C45911" w:themeColor="accent2" w:themeShade="BF"/>
        </w:rPr>
      </w:pPr>
      <w:r w:rsidRPr="00B0085B">
        <w:rPr>
          <w:rFonts w:ascii="Times New Roman" w:hAnsi="Times New Roman"/>
          <w:color w:val="C45911" w:themeColor="accent2" w:themeShade="BF"/>
        </w:rPr>
        <w:tab/>
        <w:t>Intended outcome: Arrive at an agreeable CR</w:t>
      </w:r>
    </w:p>
    <w:p w14:paraId="283E3098" w14:textId="652945D3" w:rsidR="00F13B6D" w:rsidRPr="00CD0EF5" w:rsidRDefault="00CD0EF5" w:rsidP="00CD0EF5">
      <w:pPr>
        <w:pStyle w:val="EmailDiscussion2"/>
        <w:spacing w:after="200"/>
        <w:rPr>
          <w:rFonts w:ascii="Times New Roman" w:hAnsi="Times New Roman"/>
          <w:color w:val="C45911" w:themeColor="accent2" w:themeShade="BF"/>
        </w:rPr>
      </w:pPr>
      <w:r w:rsidRPr="00B0085B">
        <w:rPr>
          <w:rFonts w:ascii="Times New Roman" w:hAnsi="Times New Roman"/>
          <w:color w:val="C45911" w:themeColor="accent2" w:themeShade="BF"/>
        </w:rPr>
        <w:tab/>
        <w:t>Deadline: Next Meeting</w:t>
      </w:r>
    </w:p>
    <w:p w14:paraId="6DDC553B" w14:textId="77777777" w:rsidR="00C92906" w:rsidRDefault="00C92906" w:rsidP="00C92906">
      <w:pPr>
        <w:pStyle w:val="Heading1"/>
        <w:textAlignment w:val="auto"/>
      </w:pPr>
      <w:r>
        <w:t>Discussion</w:t>
      </w:r>
      <w:bookmarkEnd w:id="2"/>
    </w:p>
    <w:p w14:paraId="38BEAFA5" w14:textId="77777777" w:rsidR="00C92906" w:rsidRDefault="00C92906" w:rsidP="00C92906">
      <w:pPr>
        <w:rPr>
          <w:lang w:val="en-GB" w:eastAsia="zh-CN"/>
        </w:rPr>
      </w:pPr>
      <w:r>
        <w:rPr>
          <w:lang w:val="en-GB" w:eastAsia="zh-CN"/>
        </w:rPr>
        <w:t>Cell individual cDRX configuration and operations have been discussed in different releases for different features. But from a NW scheduling perspective it is complex when cells need to be scheduled at different (random) times. A common DRX operation of all the serving cells is preferred from a NW scheduling perspective:</w:t>
      </w:r>
    </w:p>
    <w:p w14:paraId="0665267C" w14:textId="77777777" w:rsidR="00C92906" w:rsidRDefault="00C92906" w:rsidP="00C92906">
      <w:pPr>
        <w:rPr>
          <w:lang w:val="en-GB" w:eastAsia="zh-CN"/>
        </w:rPr>
      </w:pPr>
      <w:r>
        <w:rPr>
          <w:b/>
          <w:lang w:val="en-GB" w:eastAsia="zh-CN"/>
        </w:rPr>
        <w:t>Observation</w:t>
      </w:r>
      <w:r>
        <w:rPr>
          <w:lang w:val="en-GB" w:eastAsia="zh-CN"/>
        </w:rPr>
        <w:t>: To limit the impact on the NW scheduling complexity a common DRX operation should be retained as much as possible.</w:t>
      </w:r>
    </w:p>
    <w:p w14:paraId="718218D8" w14:textId="77777777" w:rsidR="00C92906" w:rsidRDefault="00C92906" w:rsidP="00C92906">
      <w:pPr>
        <w:rPr>
          <w:lang w:val="en-GB" w:eastAsia="zh-CN"/>
        </w:rPr>
      </w:pPr>
      <w:r>
        <w:rPr>
          <w:lang w:val="en-GB" w:eastAsia="zh-CN"/>
        </w:rPr>
        <w:t>A common DRX operation is retained to a great extend when:</w:t>
      </w:r>
    </w:p>
    <w:p w14:paraId="27000058" w14:textId="77777777" w:rsidR="00C92906" w:rsidRDefault="00C92906" w:rsidP="00C92906">
      <w:pPr>
        <w:pStyle w:val="ListParagraph"/>
        <w:numPr>
          <w:ilvl w:val="0"/>
          <w:numId w:val="41"/>
        </w:numPr>
        <w:rPr>
          <w:lang w:val="en-GB" w:eastAsia="zh-CN"/>
        </w:rPr>
      </w:pPr>
      <w:r>
        <w:rPr>
          <w:lang w:val="en-GB" w:eastAsia="zh-CN"/>
        </w:rPr>
        <w:t>Cells become available for scheduling at the same time</w:t>
      </w:r>
    </w:p>
    <w:p w14:paraId="4619FCC5" w14:textId="77777777" w:rsidR="00C92906" w:rsidRDefault="00C92906" w:rsidP="00C92906">
      <w:pPr>
        <w:pStyle w:val="ListParagraph"/>
        <w:numPr>
          <w:ilvl w:val="0"/>
          <w:numId w:val="41"/>
        </w:numPr>
        <w:rPr>
          <w:lang w:val="en-GB" w:eastAsia="zh-CN"/>
        </w:rPr>
      </w:pPr>
      <w:r>
        <w:rPr>
          <w:lang w:val="en-GB" w:eastAsia="zh-CN"/>
        </w:rPr>
        <w:t>A second group of cells may stop monitoring PDCCH earlier compared to the other cells</w:t>
      </w:r>
    </w:p>
    <w:p w14:paraId="6E02F25F" w14:textId="77777777" w:rsidR="00C92906" w:rsidRDefault="00C92906" w:rsidP="00C92906">
      <w:pPr>
        <w:rPr>
          <w:lang w:val="en-GB" w:eastAsia="zh-CN"/>
        </w:rPr>
      </w:pPr>
      <w:r>
        <w:rPr>
          <w:lang w:val="en-GB" w:eastAsia="zh-CN"/>
        </w:rPr>
        <w:t xml:space="preserve">The scheduling complexity impact is limited when only a second group of cells (e.g. FR2 cells) goes to sleep earlier, and thus can reduce power consumption. FR2 cells operate with a different numerology compared to FR1, therefore the </w:t>
      </w:r>
      <w:r>
        <w:rPr>
          <w:i/>
          <w:lang w:val="en-GB" w:eastAsia="zh-CN"/>
        </w:rPr>
        <w:t>OnDuration</w:t>
      </w:r>
      <w:r>
        <w:rPr>
          <w:lang w:val="en-GB" w:eastAsia="zh-CN"/>
        </w:rPr>
        <w:t xml:space="preserve"> can be shorter compared to FR1, while providing the same number of PDDCCH occasions. Given the (much) higher power consumption to monitor PDCCH in FR2, a shorter (more aggressive) </w:t>
      </w:r>
      <w:proofErr w:type="spellStart"/>
      <w:r>
        <w:rPr>
          <w:i/>
          <w:lang w:val="en-GB" w:eastAsia="zh-CN"/>
        </w:rPr>
        <w:t>drx-InactivityTimer</w:t>
      </w:r>
      <w:proofErr w:type="spellEnd"/>
      <w:r>
        <w:rPr>
          <w:lang w:val="en-GB" w:eastAsia="zh-CN"/>
        </w:rPr>
        <w:t xml:space="preserve"> in FR2 is motivated. From power saving analysis it </w:t>
      </w:r>
      <w:r>
        <w:rPr>
          <w:lang w:val="en-GB" w:eastAsia="zh-CN"/>
        </w:rPr>
        <w:lastRenderedPageBreak/>
        <w:t xml:space="preserve">appears that PDCCH monitoring may consume up to 50% of the total consumption, i.e. reducing the PDCCH monitoring is significant for the overall UE power consumption [4].  </w:t>
      </w:r>
    </w:p>
    <w:p w14:paraId="02191A6E" w14:textId="77777777" w:rsidR="00C92906" w:rsidRDefault="00C92906" w:rsidP="00C92906">
      <w:pPr>
        <w:rPr>
          <w:lang w:val="en-GB" w:eastAsia="zh-CN"/>
        </w:rPr>
      </w:pPr>
      <w:r>
        <w:rPr>
          <w:lang w:val="en-GB" w:eastAsia="zh-CN"/>
        </w:rPr>
        <w:t xml:space="preserve">When individual cells would be available for scheduling at different times this would have great impact on the scheduling complexity. A DRX operation, following rule 1 and 2 above, is exemplified in the figure below: </w:t>
      </w:r>
    </w:p>
    <w:p w14:paraId="1817A170" w14:textId="578F1A74" w:rsidR="00C92906" w:rsidRDefault="00C92906" w:rsidP="00C92906">
      <w:pPr>
        <w:rPr>
          <w:lang w:val="en-GB" w:eastAsia="zh-CN"/>
        </w:rPr>
      </w:pPr>
      <w:r>
        <w:rPr>
          <w:noProof/>
        </w:rPr>
        <w:drawing>
          <wp:inline distT="0" distB="0" distL="0" distR="0" wp14:anchorId="49E2E13E" wp14:editId="5B54996F">
            <wp:extent cx="5683885" cy="25895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3392" t="23228" r="22954" b="18242"/>
                    <a:stretch>
                      <a:fillRect/>
                    </a:stretch>
                  </pic:blipFill>
                  <pic:spPr bwMode="auto">
                    <a:xfrm>
                      <a:off x="0" y="0"/>
                      <a:ext cx="5683885" cy="2589530"/>
                    </a:xfrm>
                    <a:prstGeom prst="rect">
                      <a:avLst/>
                    </a:prstGeom>
                    <a:noFill/>
                    <a:ln>
                      <a:noFill/>
                    </a:ln>
                  </pic:spPr>
                </pic:pic>
              </a:graphicData>
            </a:graphic>
          </wp:inline>
        </w:drawing>
      </w:r>
    </w:p>
    <w:p w14:paraId="5D99175C" w14:textId="77777777" w:rsidR="00C92906" w:rsidRDefault="00C92906" w:rsidP="00C92906">
      <w:pPr>
        <w:rPr>
          <w:lang w:val="en-GB" w:eastAsia="zh-CN"/>
        </w:rPr>
      </w:pPr>
      <w:r>
        <w:rPr>
          <w:lang w:val="en-GB" w:eastAsia="zh-CN"/>
        </w:rPr>
        <w:t xml:space="preserve">The OnDuration of all the cells starts at the same time, but a </w:t>
      </w:r>
      <w:r>
        <w:rPr>
          <w:i/>
          <w:noProof/>
        </w:rPr>
        <w:t>drx-InactivityTimer2</w:t>
      </w:r>
      <w:r>
        <w:rPr>
          <w:lang w:val="en-GB" w:eastAsia="zh-CN"/>
        </w:rPr>
        <w:t xml:space="preserve"> and a </w:t>
      </w:r>
      <w:r>
        <w:rPr>
          <w:i/>
          <w:noProof/>
        </w:rPr>
        <w:t>drx-onDurationTimer2</w:t>
      </w:r>
      <w:r>
        <w:rPr>
          <w:lang w:val="en-GB" w:eastAsia="zh-CN"/>
        </w:rPr>
        <w:t xml:space="preserve"> allows some cells (e.g. FR2 cells) to sleep earlier: </w:t>
      </w:r>
    </w:p>
    <w:p w14:paraId="72042791" w14:textId="57472E6B" w:rsidR="00C92906" w:rsidRDefault="00CD0EF5" w:rsidP="00C92906">
      <w:pPr>
        <w:rPr>
          <w:lang w:val="en-GB" w:eastAsia="zh-CN"/>
        </w:rPr>
      </w:pPr>
      <w:r>
        <w:rPr>
          <w:lang w:val="en-GB" w:eastAsia="zh-CN"/>
        </w:rPr>
        <w:t>Based on discussions on the stage 3</w:t>
      </w:r>
      <w:r w:rsidR="00320F19">
        <w:rPr>
          <w:lang w:val="en-GB" w:eastAsia="zh-CN"/>
        </w:rPr>
        <w:t xml:space="preserve"> details, it should be clear to companies what the </w:t>
      </w:r>
      <w:r w:rsidR="00C03115">
        <w:rPr>
          <w:lang w:val="en-GB" w:eastAsia="zh-CN"/>
        </w:rPr>
        <w:t>actual proposal</w:t>
      </w:r>
      <w:r w:rsidR="00320F19">
        <w:rPr>
          <w:lang w:val="en-GB" w:eastAsia="zh-CN"/>
        </w:rPr>
        <w:t xml:space="preserve"> </w:t>
      </w:r>
      <w:r w:rsidR="00C03115">
        <w:rPr>
          <w:lang w:val="en-GB" w:eastAsia="zh-CN"/>
        </w:rPr>
        <w:t>is about</w:t>
      </w:r>
      <w:r w:rsidR="00320F19">
        <w:rPr>
          <w:lang w:val="en-GB" w:eastAsia="zh-CN"/>
        </w:rPr>
        <w:t xml:space="preserve">. </w:t>
      </w:r>
      <w:r w:rsidR="00C03115">
        <w:rPr>
          <w:lang w:val="en-GB" w:eastAsia="zh-CN"/>
        </w:rPr>
        <w:t>It is assumed that further discussions on the d</w:t>
      </w:r>
      <w:r w:rsidR="00320F19">
        <w:rPr>
          <w:lang w:val="en-GB" w:eastAsia="zh-CN"/>
        </w:rPr>
        <w:t xml:space="preserve">etails </w:t>
      </w:r>
      <w:r w:rsidR="00C03115">
        <w:rPr>
          <w:lang w:val="en-GB" w:eastAsia="zh-CN"/>
        </w:rPr>
        <w:t>is required, but a high level agreement to introduce the feature could be made, and</w:t>
      </w:r>
      <w:r w:rsidR="001C61AC">
        <w:rPr>
          <w:lang w:val="en-GB" w:eastAsia="zh-CN"/>
        </w:rPr>
        <w:t xml:space="preserve"> the details could be sorted out further</w:t>
      </w:r>
      <w:r w:rsidR="00320F19">
        <w:rPr>
          <w:lang w:val="en-GB" w:eastAsia="zh-CN"/>
        </w:rPr>
        <w:t xml:space="preserve">: </w:t>
      </w:r>
    </w:p>
    <w:p w14:paraId="4982AD58" w14:textId="77777777" w:rsidR="00320F19" w:rsidRDefault="00320F19" w:rsidP="00320F19">
      <w:pPr>
        <w:rPr>
          <w:lang w:val="en-GB" w:eastAsia="zh-CN"/>
        </w:rPr>
      </w:pPr>
      <w:r>
        <w:rPr>
          <w:b/>
          <w:lang w:val="en-GB" w:eastAsia="zh-CN"/>
        </w:rPr>
        <w:t>Proposal</w:t>
      </w:r>
      <w:r>
        <w:rPr>
          <w:lang w:val="en-GB" w:eastAsia="zh-CN"/>
        </w:rPr>
        <w:t>: A second group of serving cells can be configured with a different DRX inactivity timer and DRX on duration timer with CA in REL-16 in NR.</w:t>
      </w:r>
    </w:p>
    <w:p w14:paraId="51A88853" w14:textId="45780A00" w:rsidR="00320F19" w:rsidRDefault="001C61AC" w:rsidP="00C92906">
      <w:pPr>
        <w:rPr>
          <w:lang w:val="en-GB" w:eastAsia="zh-CN"/>
        </w:rPr>
      </w:pPr>
      <w:r>
        <w:rPr>
          <w:lang w:val="en-GB" w:eastAsia="zh-CN"/>
        </w:rPr>
        <w:t xml:space="preserve">The </w:t>
      </w:r>
      <w:r w:rsidR="00E32005">
        <w:rPr>
          <w:lang w:val="en-GB" w:eastAsia="zh-CN"/>
        </w:rPr>
        <w:t>draft CRs for 38.321 [</w:t>
      </w:r>
      <w:r w:rsidR="00E549F1">
        <w:rPr>
          <w:lang w:val="en-GB" w:eastAsia="zh-CN"/>
        </w:rPr>
        <w:t>5</w:t>
      </w:r>
      <w:r w:rsidR="00E32005">
        <w:rPr>
          <w:lang w:val="en-GB" w:eastAsia="zh-CN"/>
        </w:rPr>
        <w:t>] and 38.331 [</w:t>
      </w:r>
      <w:r w:rsidR="00E549F1">
        <w:rPr>
          <w:lang w:val="en-GB" w:eastAsia="zh-CN"/>
        </w:rPr>
        <w:t>6</w:t>
      </w:r>
      <w:r w:rsidR="00E32005">
        <w:rPr>
          <w:lang w:val="en-GB" w:eastAsia="zh-CN"/>
        </w:rPr>
        <w:t xml:space="preserve">] are submitted as company </w:t>
      </w:r>
      <w:proofErr w:type="spellStart"/>
      <w:r w:rsidR="00E549F1">
        <w:rPr>
          <w:lang w:val="en-GB" w:eastAsia="zh-CN"/>
        </w:rPr>
        <w:t>draft</w:t>
      </w:r>
      <w:r w:rsidR="00E32005">
        <w:rPr>
          <w:lang w:val="en-GB" w:eastAsia="zh-CN"/>
        </w:rPr>
        <w:t>CRs</w:t>
      </w:r>
      <w:proofErr w:type="spellEnd"/>
      <w:r w:rsidR="00E32005">
        <w:rPr>
          <w:lang w:val="en-GB" w:eastAsia="zh-CN"/>
        </w:rPr>
        <w:t xml:space="preserve">. For summary and proposed way forward </w:t>
      </w:r>
      <w:r w:rsidR="00E549F1">
        <w:rPr>
          <w:lang w:val="en-GB" w:eastAsia="zh-CN"/>
        </w:rPr>
        <w:t>for the</w:t>
      </w:r>
      <w:r w:rsidR="00E32005">
        <w:rPr>
          <w:lang w:val="en-GB" w:eastAsia="zh-CN"/>
        </w:rPr>
        <w:t xml:space="preserve"> email discussion</w:t>
      </w:r>
      <w:r w:rsidR="00E549F1">
        <w:rPr>
          <w:lang w:val="en-GB" w:eastAsia="zh-CN"/>
        </w:rPr>
        <w:t xml:space="preserve">, see </w:t>
      </w:r>
      <w:r w:rsidR="00E32005">
        <w:rPr>
          <w:lang w:val="en-GB" w:eastAsia="zh-CN"/>
        </w:rPr>
        <w:t>[</w:t>
      </w:r>
      <w:r w:rsidR="00E549F1">
        <w:rPr>
          <w:lang w:val="en-GB" w:eastAsia="zh-CN"/>
        </w:rPr>
        <w:t>7</w:t>
      </w:r>
      <w:r w:rsidR="00E32005">
        <w:rPr>
          <w:lang w:val="en-GB" w:eastAsia="zh-CN"/>
        </w:rPr>
        <w:t>].</w:t>
      </w:r>
    </w:p>
    <w:p w14:paraId="246ED7F2" w14:textId="77777777" w:rsidR="00C92906" w:rsidRDefault="00C92906" w:rsidP="00C92906">
      <w:pPr>
        <w:pStyle w:val="Heading1"/>
        <w:jc w:val="both"/>
        <w:textAlignment w:val="auto"/>
      </w:pPr>
      <w:bookmarkStart w:id="3" w:name="_Toc242573360"/>
      <w:r>
        <w:t>Summary</w:t>
      </w:r>
      <w:bookmarkEnd w:id="3"/>
    </w:p>
    <w:p w14:paraId="4B5F128A" w14:textId="77777777" w:rsidR="00C92906" w:rsidRDefault="00C92906" w:rsidP="00C92906">
      <w:bookmarkStart w:id="4" w:name="_Toc242573361"/>
      <w:r>
        <w:t xml:space="preserve">RAN2 is kindly asked to discuss </w:t>
      </w:r>
      <w:r>
        <w:rPr>
          <w:lang w:val="en-GB" w:eastAsia="zh-CN"/>
        </w:rPr>
        <w:t>dual cDRX operation in REL-16 in NR to improve the power consumption when both FR1 and FR2 cells are configured with CA</w:t>
      </w:r>
      <w:r>
        <w:t xml:space="preserve">: </w:t>
      </w:r>
    </w:p>
    <w:p w14:paraId="195717BE" w14:textId="77777777" w:rsidR="00C92906" w:rsidRDefault="00C92906" w:rsidP="00C92906">
      <w:pPr>
        <w:rPr>
          <w:lang w:val="en-GB" w:eastAsia="zh-CN"/>
        </w:rPr>
      </w:pPr>
      <w:r>
        <w:rPr>
          <w:b/>
          <w:lang w:val="en-GB" w:eastAsia="zh-CN"/>
        </w:rPr>
        <w:t>Proposal</w:t>
      </w:r>
      <w:r>
        <w:rPr>
          <w:lang w:val="en-GB" w:eastAsia="zh-CN"/>
        </w:rPr>
        <w:t>: A second group of serving cells can be configured with a different DRX inactivity timer and DRX on duration timer with CA in REL-16 in NR.</w:t>
      </w:r>
    </w:p>
    <w:p w14:paraId="3D36A52C" w14:textId="77777777" w:rsidR="00C92906" w:rsidRDefault="00C92906" w:rsidP="00C92906">
      <w:pPr>
        <w:pStyle w:val="Heading1"/>
        <w:textAlignment w:val="auto"/>
        <w:rPr>
          <w:noProof/>
        </w:rPr>
      </w:pPr>
      <w:r>
        <w:rPr>
          <w:noProof/>
        </w:rPr>
        <w:t>References</w:t>
      </w:r>
      <w:bookmarkEnd w:id="4"/>
    </w:p>
    <w:p w14:paraId="746B57F5" w14:textId="77777777" w:rsidR="00C92906" w:rsidRDefault="008A2DC3" w:rsidP="00C92906">
      <w:pPr>
        <w:numPr>
          <w:ilvl w:val="0"/>
          <w:numId w:val="42"/>
        </w:numPr>
        <w:overflowPunct w:val="0"/>
        <w:autoSpaceDE w:val="0"/>
        <w:autoSpaceDN w:val="0"/>
        <w:adjustRightInd w:val="0"/>
        <w:spacing w:before="60" w:after="60"/>
        <w:textAlignment w:val="baseline"/>
        <w:rPr>
          <w:rFonts w:cs="Arial"/>
          <w:sz w:val="16"/>
          <w:szCs w:val="16"/>
          <w:lang w:val="de-DE"/>
        </w:rPr>
      </w:pPr>
      <w:hyperlink r:id="rId8" w:history="1">
        <w:r w:rsidR="00C92906">
          <w:rPr>
            <w:rStyle w:val="Hyperlink"/>
            <w:sz w:val="16"/>
            <w:szCs w:val="16"/>
            <w:lang w:val="de-DE"/>
          </w:rPr>
          <w:t>RP-191769</w:t>
        </w:r>
      </w:hyperlink>
      <w:r w:rsidR="00C92906">
        <w:rPr>
          <w:rFonts w:cs="Arial"/>
          <w:sz w:val="16"/>
          <w:szCs w:val="16"/>
          <w:lang w:val="de-DE"/>
        </w:rPr>
        <w:t xml:space="preserve">, </w:t>
      </w:r>
      <w:r w:rsidR="00C92906">
        <w:rPr>
          <w:rFonts w:cs="Arial"/>
          <w:i/>
          <w:sz w:val="16"/>
          <w:szCs w:val="16"/>
          <w:lang w:val="de-DE"/>
        </w:rPr>
        <w:t>On Rel-16 UE Power</w:t>
      </w:r>
      <w:r w:rsidR="00C92906">
        <w:rPr>
          <w:rFonts w:cs="Arial"/>
          <w:sz w:val="16"/>
          <w:szCs w:val="16"/>
          <w:lang w:val="de-DE"/>
        </w:rPr>
        <w:t>, revised WID proposal, Ericsson, RAN#85</w:t>
      </w:r>
    </w:p>
    <w:p w14:paraId="551A3D13" w14:textId="77777777" w:rsidR="00C92906" w:rsidRDefault="008A2DC3" w:rsidP="00C92906">
      <w:pPr>
        <w:numPr>
          <w:ilvl w:val="0"/>
          <w:numId w:val="42"/>
        </w:numPr>
        <w:overflowPunct w:val="0"/>
        <w:autoSpaceDE w:val="0"/>
        <w:autoSpaceDN w:val="0"/>
        <w:adjustRightInd w:val="0"/>
        <w:spacing w:before="60" w:after="60"/>
        <w:textAlignment w:val="baseline"/>
        <w:rPr>
          <w:rFonts w:cs="Arial"/>
          <w:sz w:val="16"/>
          <w:szCs w:val="16"/>
          <w:lang w:val="de-DE"/>
        </w:rPr>
      </w:pPr>
      <w:hyperlink r:id="rId9" w:history="1">
        <w:r w:rsidR="00C92906">
          <w:rPr>
            <w:rStyle w:val="Hyperlink"/>
            <w:sz w:val="16"/>
            <w:szCs w:val="16"/>
            <w:lang w:val="de-DE"/>
          </w:rPr>
          <w:t>RP-191737</w:t>
        </w:r>
      </w:hyperlink>
      <w:r w:rsidR="00C92906">
        <w:rPr>
          <w:rFonts w:cs="Arial"/>
          <w:sz w:val="16"/>
          <w:szCs w:val="16"/>
          <w:lang w:val="de-DE"/>
        </w:rPr>
        <w:t xml:space="preserve">, </w:t>
      </w:r>
      <w:r w:rsidR="00C92906">
        <w:rPr>
          <w:rFonts w:cs="Arial"/>
          <w:i/>
          <w:sz w:val="16"/>
          <w:szCs w:val="16"/>
          <w:lang w:val="de-DE"/>
        </w:rPr>
        <w:t>Views on UE power saving WI</w:t>
      </w:r>
      <w:r w:rsidR="00C92906">
        <w:rPr>
          <w:rFonts w:cs="Arial"/>
          <w:sz w:val="16"/>
          <w:szCs w:val="16"/>
          <w:lang w:val="de-DE"/>
        </w:rPr>
        <w:t>, revised WID proposal, Qualcomm, RAN#85</w:t>
      </w:r>
    </w:p>
    <w:p w14:paraId="6AA5F178" w14:textId="77777777" w:rsidR="00C92906" w:rsidRDefault="008A2DC3" w:rsidP="00C92906">
      <w:pPr>
        <w:numPr>
          <w:ilvl w:val="0"/>
          <w:numId w:val="42"/>
        </w:numPr>
        <w:overflowPunct w:val="0"/>
        <w:autoSpaceDE w:val="0"/>
        <w:autoSpaceDN w:val="0"/>
        <w:adjustRightInd w:val="0"/>
        <w:spacing w:before="60" w:after="60"/>
        <w:textAlignment w:val="baseline"/>
        <w:rPr>
          <w:rFonts w:cs="Arial"/>
          <w:sz w:val="16"/>
          <w:szCs w:val="16"/>
          <w:lang w:val="de-DE"/>
        </w:rPr>
      </w:pPr>
      <w:hyperlink r:id="rId10" w:history="1">
        <w:r w:rsidR="00C92906">
          <w:rPr>
            <w:rStyle w:val="Hyperlink"/>
            <w:sz w:val="16"/>
            <w:szCs w:val="16"/>
            <w:lang w:val="de-DE"/>
          </w:rPr>
          <w:t>RP-191607</w:t>
        </w:r>
      </w:hyperlink>
      <w:r w:rsidR="00C92906">
        <w:rPr>
          <w:rFonts w:cs="Arial"/>
          <w:sz w:val="16"/>
          <w:szCs w:val="16"/>
          <w:lang w:val="de-DE"/>
        </w:rPr>
        <w:t xml:space="preserve">, </w:t>
      </w:r>
      <w:r w:rsidR="00C92906">
        <w:rPr>
          <w:rFonts w:cs="Arial"/>
          <w:i/>
          <w:sz w:val="16"/>
          <w:szCs w:val="16"/>
          <w:lang w:val="de-DE"/>
        </w:rPr>
        <w:t>Revised WID: UE Power Saving in NR</w:t>
      </w:r>
      <w:r w:rsidR="00C92906">
        <w:rPr>
          <w:rFonts w:cs="Arial"/>
          <w:sz w:val="16"/>
          <w:szCs w:val="16"/>
          <w:lang w:val="de-DE"/>
        </w:rPr>
        <w:t>, Revised WID, CATT, RAN#84</w:t>
      </w:r>
    </w:p>
    <w:p w14:paraId="7B2D7430" w14:textId="04CA6C82" w:rsidR="00C92906" w:rsidRDefault="008A2DC3" w:rsidP="00C92906">
      <w:pPr>
        <w:numPr>
          <w:ilvl w:val="0"/>
          <w:numId w:val="42"/>
        </w:numPr>
        <w:overflowPunct w:val="0"/>
        <w:autoSpaceDE w:val="0"/>
        <w:autoSpaceDN w:val="0"/>
        <w:adjustRightInd w:val="0"/>
        <w:spacing w:before="60" w:after="60"/>
        <w:textAlignment w:val="baseline"/>
        <w:rPr>
          <w:rFonts w:cs="Arial"/>
          <w:sz w:val="16"/>
          <w:szCs w:val="16"/>
          <w:lang w:val="de-DE"/>
        </w:rPr>
      </w:pPr>
      <w:hyperlink r:id="rId11" w:history="1">
        <w:r w:rsidR="00C92906">
          <w:rPr>
            <w:rStyle w:val="Hyperlink"/>
            <w:sz w:val="16"/>
            <w:szCs w:val="16"/>
            <w:lang w:val="de-DE"/>
          </w:rPr>
          <w:t>R1-1907324</w:t>
        </w:r>
      </w:hyperlink>
      <w:r w:rsidR="00C92906">
        <w:rPr>
          <w:rFonts w:cs="Arial"/>
          <w:sz w:val="16"/>
          <w:szCs w:val="16"/>
          <w:lang w:val="de-DE"/>
        </w:rPr>
        <w:t xml:space="preserve">, </w:t>
      </w:r>
      <w:r w:rsidR="00C92906">
        <w:rPr>
          <w:rFonts w:cs="Arial"/>
          <w:i/>
          <w:sz w:val="16"/>
          <w:szCs w:val="16"/>
          <w:lang w:val="de-DE"/>
        </w:rPr>
        <w:t>PS considerations from UE energy consumption profiling</w:t>
      </w:r>
      <w:r w:rsidR="00C92906">
        <w:rPr>
          <w:rFonts w:cs="Arial"/>
          <w:sz w:val="16"/>
          <w:szCs w:val="16"/>
          <w:lang w:val="de-DE"/>
        </w:rPr>
        <w:t>, Ericsson, DISC, RAN1#97</w:t>
      </w:r>
    </w:p>
    <w:p w14:paraId="5DC9C738" w14:textId="727FCF74" w:rsidR="000C4CD3" w:rsidRPr="000C4CD3" w:rsidRDefault="00480127" w:rsidP="000C4CD3">
      <w:pPr>
        <w:numPr>
          <w:ilvl w:val="0"/>
          <w:numId w:val="42"/>
        </w:numPr>
        <w:overflowPunct w:val="0"/>
        <w:autoSpaceDE w:val="0"/>
        <w:autoSpaceDN w:val="0"/>
        <w:adjustRightInd w:val="0"/>
        <w:spacing w:before="60" w:after="60"/>
        <w:textAlignment w:val="baseline"/>
        <w:rPr>
          <w:rFonts w:cs="Arial"/>
          <w:sz w:val="16"/>
          <w:szCs w:val="16"/>
          <w:lang w:val="de-DE"/>
        </w:rPr>
      </w:pPr>
      <w:hyperlink r:id="rId12" w:history="1">
        <w:r w:rsidR="000C4CD3" w:rsidRPr="00480127">
          <w:rPr>
            <w:rStyle w:val="Hyperlink"/>
            <w:rFonts w:cs="Arial"/>
            <w:sz w:val="16"/>
            <w:szCs w:val="16"/>
            <w:lang w:val="de-DE"/>
          </w:rPr>
          <w:t>R2-1915290</w:t>
        </w:r>
      </w:hyperlink>
      <w:r w:rsidR="000C4CD3">
        <w:rPr>
          <w:rFonts w:cs="Arial"/>
          <w:sz w:val="16"/>
          <w:szCs w:val="16"/>
          <w:lang w:val="de-DE"/>
        </w:rPr>
        <w:t xml:space="preserve">, </w:t>
      </w:r>
      <w:r w:rsidR="000C4CD3" w:rsidRPr="00480127">
        <w:rPr>
          <w:rFonts w:cs="Arial"/>
          <w:i/>
          <w:sz w:val="16"/>
          <w:szCs w:val="16"/>
          <w:lang w:val="de-DE"/>
        </w:rPr>
        <w:t>Introduction of secondary DRX group</w:t>
      </w:r>
      <w:r w:rsidR="000C4CD3">
        <w:rPr>
          <w:rFonts w:cs="Arial"/>
          <w:sz w:val="16"/>
          <w:szCs w:val="16"/>
          <w:lang w:val="de-DE"/>
        </w:rPr>
        <w:t>, Ericsson, CR 38.321, RAN2#108</w:t>
      </w:r>
    </w:p>
    <w:p w14:paraId="20EC9732" w14:textId="2D9407D5" w:rsidR="000C4CD3" w:rsidRPr="000C4CD3" w:rsidRDefault="00480127" w:rsidP="000C4CD3">
      <w:pPr>
        <w:numPr>
          <w:ilvl w:val="0"/>
          <w:numId w:val="42"/>
        </w:numPr>
        <w:overflowPunct w:val="0"/>
        <w:autoSpaceDE w:val="0"/>
        <w:autoSpaceDN w:val="0"/>
        <w:adjustRightInd w:val="0"/>
        <w:spacing w:before="60" w:after="60"/>
        <w:textAlignment w:val="baseline"/>
        <w:rPr>
          <w:rFonts w:cs="Arial"/>
          <w:sz w:val="16"/>
          <w:szCs w:val="16"/>
          <w:lang w:val="de-DE"/>
        </w:rPr>
      </w:pPr>
      <w:hyperlink r:id="rId13" w:history="1">
        <w:r w:rsidR="000C4CD3" w:rsidRPr="00480127">
          <w:rPr>
            <w:rStyle w:val="Hyperlink"/>
            <w:rFonts w:cs="Arial"/>
            <w:sz w:val="16"/>
            <w:szCs w:val="16"/>
            <w:lang w:val="de-DE"/>
          </w:rPr>
          <w:t>R2-1915291</w:t>
        </w:r>
      </w:hyperlink>
      <w:r w:rsidR="000C4CD3">
        <w:rPr>
          <w:rFonts w:cs="Arial"/>
          <w:sz w:val="16"/>
          <w:szCs w:val="16"/>
          <w:lang w:val="de-DE"/>
        </w:rPr>
        <w:t xml:space="preserve">, </w:t>
      </w:r>
      <w:r w:rsidR="000C4CD3" w:rsidRPr="00480127">
        <w:rPr>
          <w:rFonts w:cs="Arial"/>
          <w:i/>
          <w:sz w:val="16"/>
          <w:szCs w:val="16"/>
          <w:lang w:val="de-DE"/>
        </w:rPr>
        <w:t>Introduction of secondary DRX group</w:t>
      </w:r>
      <w:r w:rsidR="000C4CD3">
        <w:rPr>
          <w:rFonts w:cs="Arial"/>
          <w:sz w:val="16"/>
          <w:szCs w:val="16"/>
          <w:lang w:val="de-DE"/>
        </w:rPr>
        <w:t xml:space="preserve">, </w:t>
      </w:r>
      <w:r w:rsidR="000C4CD3">
        <w:rPr>
          <w:rFonts w:cs="Arial"/>
          <w:sz w:val="16"/>
          <w:szCs w:val="16"/>
          <w:lang w:val="de-DE"/>
        </w:rPr>
        <w:t>Ericsson, CR 38.3</w:t>
      </w:r>
      <w:r>
        <w:rPr>
          <w:rFonts w:cs="Arial"/>
          <w:sz w:val="16"/>
          <w:szCs w:val="16"/>
          <w:lang w:val="de-DE"/>
        </w:rPr>
        <w:t>31</w:t>
      </w:r>
      <w:r w:rsidR="000C4CD3">
        <w:rPr>
          <w:rFonts w:cs="Arial"/>
          <w:sz w:val="16"/>
          <w:szCs w:val="16"/>
          <w:lang w:val="de-DE"/>
        </w:rPr>
        <w:t>, RAN2#108</w:t>
      </w:r>
    </w:p>
    <w:p w14:paraId="64B17BDC" w14:textId="1E6E7514" w:rsidR="000C4CD3" w:rsidRDefault="00480127" w:rsidP="000C4CD3">
      <w:pPr>
        <w:numPr>
          <w:ilvl w:val="0"/>
          <w:numId w:val="42"/>
        </w:numPr>
        <w:overflowPunct w:val="0"/>
        <w:autoSpaceDE w:val="0"/>
        <w:autoSpaceDN w:val="0"/>
        <w:adjustRightInd w:val="0"/>
        <w:spacing w:before="60" w:after="60"/>
        <w:textAlignment w:val="baseline"/>
        <w:rPr>
          <w:rFonts w:cs="Arial"/>
          <w:sz w:val="16"/>
          <w:szCs w:val="16"/>
          <w:lang w:val="de-DE"/>
        </w:rPr>
      </w:pPr>
      <w:hyperlink r:id="rId14" w:history="1">
        <w:r w:rsidR="000C4CD3" w:rsidRPr="00480127">
          <w:rPr>
            <w:rStyle w:val="Hyperlink"/>
            <w:rFonts w:cs="Arial"/>
            <w:sz w:val="16"/>
            <w:szCs w:val="16"/>
            <w:lang w:val="de-DE"/>
          </w:rPr>
          <w:t>R2-1915292</w:t>
        </w:r>
      </w:hyperlink>
      <w:r w:rsidR="000C4CD3">
        <w:rPr>
          <w:rFonts w:cs="Arial"/>
          <w:sz w:val="16"/>
          <w:szCs w:val="16"/>
          <w:lang w:val="de-DE"/>
        </w:rPr>
        <w:t xml:space="preserve">, </w:t>
      </w:r>
      <w:r w:rsidR="000C4CD3" w:rsidRPr="00480127">
        <w:rPr>
          <w:rFonts w:cs="Arial"/>
          <w:i/>
          <w:sz w:val="16"/>
          <w:szCs w:val="16"/>
          <w:lang w:val="de-DE"/>
        </w:rPr>
        <w:t>Email report [107bis#49][NR TEI16] cDRX enhancement for CA</w:t>
      </w:r>
      <w:r>
        <w:rPr>
          <w:rFonts w:cs="Arial"/>
          <w:sz w:val="16"/>
          <w:szCs w:val="16"/>
          <w:lang w:val="de-DE"/>
        </w:rPr>
        <w:t>, Ericsson, Email Report, RAN2#108</w:t>
      </w:r>
    </w:p>
    <w:sectPr w:rsidR="000C4CD3"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E4F54" w14:textId="77777777" w:rsidR="008A2DC3" w:rsidRDefault="008A2DC3">
      <w:r>
        <w:separator/>
      </w:r>
    </w:p>
  </w:endnote>
  <w:endnote w:type="continuationSeparator" w:id="0">
    <w:p w14:paraId="25BCC61D" w14:textId="77777777" w:rsidR="008A2DC3" w:rsidRDefault="008A2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6704D" w14:textId="77777777" w:rsidR="008A2DC3" w:rsidRDefault="008A2DC3">
      <w:r>
        <w:separator/>
      </w:r>
    </w:p>
  </w:footnote>
  <w:footnote w:type="continuationSeparator" w:id="0">
    <w:p w14:paraId="1EC9C533" w14:textId="77777777" w:rsidR="008A2DC3" w:rsidRDefault="008A2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DFD1EFF"/>
    <w:multiLevelType w:val="hybridMultilevel"/>
    <w:tmpl w:val="AC3C1D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5"/>
  </w:num>
  <w:num w:numId="3">
    <w:abstractNumId w:val="17"/>
  </w:num>
  <w:num w:numId="4">
    <w:abstractNumId w:val="11"/>
  </w:num>
  <w:num w:numId="5">
    <w:abstractNumId w:val="36"/>
  </w:num>
  <w:num w:numId="6">
    <w:abstractNumId w:val="20"/>
  </w:num>
  <w:num w:numId="7">
    <w:abstractNumId w:val="32"/>
  </w:num>
  <w:num w:numId="8">
    <w:abstractNumId w:val="38"/>
  </w:num>
  <w:num w:numId="9">
    <w:abstractNumId w:val="13"/>
  </w:num>
  <w:num w:numId="10">
    <w:abstractNumId w:val="19"/>
  </w:num>
  <w:num w:numId="11">
    <w:abstractNumId w:val="16"/>
  </w:num>
  <w:num w:numId="12">
    <w:abstractNumId w:val="41"/>
  </w:num>
  <w:num w:numId="13">
    <w:abstractNumId w:val="14"/>
  </w:num>
  <w:num w:numId="14">
    <w:abstractNumId w:val="22"/>
  </w:num>
  <w:num w:numId="15">
    <w:abstractNumId w:val="37"/>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5"/>
  </w:num>
  <w:num w:numId="29">
    <w:abstractNumId w:val="39"/>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2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7"/>
  </w:num>
  <w:num w:numId="36">
    <w:abstractNumId w:val="26"/>
  </w:num>
  <w:num w:numId="37">
    <w:abstractNumId w:val="29"/>
  </w:num>
  <w:num w:numId="38">
    <w:abstractNumId w:val="31"/>
  </w:num>
  <w:num w:numId="39">
    <w:abstractNumId w:val="40"/>
  </w:num>
  <w:num w:numId="40">
    <w:abstractNumId w:val="34"/>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4CD3"/>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AB5"/>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1AC"/>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0F1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B5CD6"/>
    <w:rsid w:val="003C1556"/>
    <w:rsid w:val="003C1C5D"/>
    <w:rsid w:val="003C50C2"/>
    <w:rsid w:val="003D09AA"/>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587"/>
    <w:rsid w:val="00462E26"/>
    <w:rsid w:val="00465DAE"/>
    <w:rsid w:val="004661AB"/>
    <w:rsid w:val="0047097D"/>
    <w:rsid w:val="00480127"/>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2DC3"/>
    <w:rsid w:val="008A5D84"/>
    <w:rsid w:val="008B36BD"/>
    <w:rsid w:val="008C226A"/>
    <w:rsid w:val="008C2808"/>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0D95"/>
    <w:rsid w:val="00BA1E62"/>
    <w:rsid w:val="00BA633E"/>
    <w:rsid w:val="00BB39E9"/>
    <w:rsid w:val="00BC02B0"/>
    <w:rsid w:val="00BC740F"/>
    <w:rsid w:val="00BD0CC3"/>
    <w:rsid w:val="00BD12AC"/>
    <w:rsid w:val="00BD34F9"/>
    <w:rsid w:val="00BD57B1"/>
    <w:rsid w:val="00BD64D2"/>
    <w:rsid w:val="00BE4B38"/>
    <w:rsid w:val="00BE4D1B"/>
    <w:rsid w:val="00BF69E7"/>
    <w:rsid w:val="00BF7D26"/>
    <w:rsid w:val="00C02D53"/>
    <w:rsid w:val="00C03115"/>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2906"/>
    <w:rsid w:val="00C953B2"/>
    <w:rsid w:val="00C96A72"/>
    <w:rsid w:val="00C9729B"/>
    <w:rsid w:val="00CA1C76"/>
    <w:rsid w:val="00CA280A"/>
    <w:rsid w:val="00CA315B"/>
    <w:rsid w:val="00CB1753"/>
    <w:rsid w:val="00CC00D8"/>
    <w:rsid w:val="00CC1F1A"/>
    <w:rsid w:val="00CC2C63"/>
    <w:rsid w:val="00CC308A"/>
    <w:rsid w:val="00CC5C27"/>
    <w:rsid w:val="00CC6376"/>
    <w:rsid w:val="00CD0EF5"/>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2005"/>
    <w:rsid w:val="00E331C0"/>
    <w:rsid w:val="00E34134"/>
    <w:rsid w:val="00E34263"/>
    <w:rsid w:val="00E35947"/>
    <w:rsid w:val="00E36CB2"/>
    <w:rsid w:val="00E40F04"/>
    <w:rsid w:val="00E4114E"/>
    <w:rsid w:val="00E4685A"/>
    <w:rsid w:val="00E46AF8"/>
    <w:rsid w:val="00E47D4D"/>
    <w:rsid w:val="00E549F1"/>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3B6D"/>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EmailDiscussion">
    <w:name w:val="EmailDiscussion"/>
    <w:basedOn w:val="Normal"/>
    <w:next w:val="Doc-text2"/>
    <w:link w:val="EmailDiscussionChar"/>
    <w:rsid w:val="00CD0EF5"/>
    <w:pPr>
      <w:numPr>
        <w:numId w:val="43"/>
      </w:numPr>
      <w:spacing w:before="40" w:after="0"/>
    </w:pPr>
    <w:rPr>
      <w:rFonts w:eastAsia="MS Mincho"/>
      <w:b/>
      <w:szCs w:val="24"/>
      <w:lang w:val="en-GB" w:eastAsia="en-GB"/>
    </w:rPr>
  </w:style>
  <w:style w:type="character" w:customStyle="1" w:styleId="EmailDiscussionChar">
    <w:name w:val="EmailDiscussion Char"/>
    <w:link w:val="EmailDiscussion"/>
    <w:rsid w:val="00CD0EF5"/>
    <w:rPr>
      <w:rFonts w:ascii="Arial" w:eastAsia="MS Mincho" w:hAnsi="Arial"/>
      <w:b/>
      <w:szCs w:val="24"/>
    </w:rPr>
  </w:style>
  <w:style w:type="paragraph" w:customStyle="1" w:styleId="EmailDiscussion2">
    <w:name w:val="EmailDiscussion2"/>
    <w:basedOn w:val="Doc-text2"/>
    <w:qFormat/>
    <w:rsid w:val="00CD0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23671">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36484849">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5/Docs/RP-191769.zip" TargetMode="External"/><Relationship Id="rId13" Type="http://schemas.openxmlformats.org/officeDocument/2006/relationships/hyperlink" Target="https://www.3gpp.org/ftp/tsg_ran/WG2_RL2/TSGR2_108/Docs/R2-1915291.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3gpp.org/ftp/tsg_ran/WG2_RL2/TSGR2_108/Docs/R2-1915290.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97/Docs/R1-1907324.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3gpp.org/ftp/tsg_ran/TSG_RAN/TSGR_84/Docs/RP-191607.zip" TargetMode="External"/><Relationship Id="rId4" Type="http://schemas.openxmlformats.org/officeDocument/2006/relationships/webSettings" Target="webSettings.xml"/><Relationship Id="rId9" Type="http://schemas.openxmlformats.org/officeDocument/2006/relationships/hyperlink" Target="http://www.3gpp.org/ftp/tsg_ran/TSG_RAN/TSGR_85/Docs/RP-191737.zip" TargetMode="External"/><Relationship Id="rId14" Type="http://schemas.openxmlformats.org/officeDocument/2006/relationships/hyperlink" Target="https://www.3gpp.org/ftp/tsg_ran/WG2_RL2/TSGR2_108/Docs/R2-19152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16</cp:revision>
  <cp:lastPrinted>2009-10-21T14:47:00Z</cp:lastPrinted>
  <dcterms:created xsi:type="dcterms:W3CDTF">2019-01-22T06:45:00Z</dcterms:created>
  <dcterms:modified xsi:type="dcterms:W3CDTF">2019-11-07T18:15:00Z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